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Дерматовенерология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Дерматовенерология | Записей: 1 | Кейс: 2 | Вопросов: 12</w:t>
      </w:r>
    </w:p>
    <w:p>
      <w:r>
        <w:br w:type="page"/>
      </w:r>
    </w:p>
    <w:p>
      <w:pPr>
        <w:pStyle w:val="Heading1"/>
      </w:pPr>
      <w:r>
        <w:t>Дерматовенерология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Дерматовенерология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19 лет обратился к врачу-дерматовенерологу.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высыпания на коже волосистой части головы.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трех недель, когда впервые обнаружил высыпания на волосистой части головы, сопровождающиеся болевыми ощущениями. На фоне этого отметил подъем температуры и ухудшение общего самочувствия.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Пастух, проживает в сельской местности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* У родителей заболеваний кожи не было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Очаг круглой формы размером до 10 см, покрытый массивными гнойно-кровянистыми корками. Кожа в очаге резко гиперемирована. При нажатии на очаг из отверстий волосяных фолликулов выделяется гной. Волосы в очаге расшатаны и легко удаляются. Вокруг очага наблюдаются единичные отсевы.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постановки диагноза необходимо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биопсии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йодной пробы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исследования на акантолитические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микроскопического исследования на грибы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микроскопического исследования на грибы</w:t>
      </w:r>
    </w:p>
    <w:p>
      <w:pPr>
        <w:ind w:left="504"/>
      </w:pPr>
      <w:r>
        <w:rPr>
          <w:b w:val="0"/>
          <w:i/>
        </w:rPr>
        <w:t>Для постановки диагноза трихофитии рекомендуется основываться на данных клинической картины и результатах лабораторных исследований: микроскопического исследования на грибы (не менее 4 раз), культурального исследования для идентификации вида возбудителя.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2.3 Лабораторная диагностика.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Микроскопическое исследование на грибы</w:t>
      </w:r>
    </w:p>
    <w:p>
      <w:pPr>
        <w:spacing w:after="58"/>
      </w:pPr>
      <w:r>
        <w:rPr>
          <w:b w:val="0"/>
          <w:i w:val="0"/>
        </w:rPr>
        <w:t>Извитые нити септированного мицелия, волос заполнен крупными спорами гриба</w:t>
      </w:r>
    </w:p>
    <w:p>
      <w:pPr>
        <w:pStyle w:val="Heading3"/>
      </w:pPr>
      <w:r>
        <w:t>3.3. Биопсия</w:t>
      </w:r>
    </w:p>
    <w:p>
      <w:pPr>
        <w:spacing w:after="58"/>
      </w:pPr>
      <w:r>
        <w:rPr>
          <w:b w:val="0"/>
          <w:i w:val="0"/>
        </w:rPr>
        <w:t>Специфических изменений не обнаружено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Наиболее вероятным диагнозом в данной ситуации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Руброфития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Подрывающий фолликулит Гоффмана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Трихофития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Фурункул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Трихофития</w:t>
      </w:r>
    </w:p>
    <w:p>
      <w:pPr>
        <w:ind w:left="504"/>
      </w:pPr>
      <w:r>
        <w:rPr>
          <w:b w:val="0"/>
          <w:i/>
        </w:rPr>
        <w:t>Зооантропонозной трихофитией чаще болеют сельские жители.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1.3 Эпидемиология.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Инфильтративно-­нагноительную (зооантропонозную), обусловленную зоофильными грибами (Trichophyton mentagrophytesvar, gypseum и Trichophyton verrucosum), паразитирующими на животных. Зоофильные трихофитоны отличаются преимущественным расположением вокруг волоса и в эпителии внутреннего волосянного влагалища. Вызываемое ими поражение кожи – инфильтративно-нагноительная (глубокая) трихофития – характеризуется образованием перифолликулярного воспалительного инфильтрата, приводящего к гнойному расплавлению волосяных фолликулов и окружающей соединительной ткани.</w:t>
        <w:br/>
        <w:br/>
        <w:t>1.2 Этиология и патогенез.</w:t>
        <w:br/>
        <w:br/>
      </w:r>
      <w:hyperlink r:id="rId12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Для постановки диагноза трихофитии рекомендуется основываться на данных клинической картины и результатах лабораторных исследований: микроскопического исследования на грибы (не менее 4 раз), культурального исследования для идентификации вида возбудителя.</w:t>
        <w:br/>
        <w:br/>
        <w:t>Раздел 2.3 Лабораторная диагностика.</w:t>
        <w:br/>
        <w:br/>
      </w:r>
      <w:hyperlink r:id="rId10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5. Диагноз</w:t>
      </w:r>
    </w:p>
    <w:p>
      <w:pPr>
        <w:pStyle w:val="Heading3"/>
      </w:pPr>
      <w:r>
        <w:t>5.1. Трихофития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постановки диагноза микроскопическое исследование на грибы должно быть не менее +_____+  раз с результатом «положительно»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ind w:left="504"/>
      </w:pPr>
      <w:r>
        <w:rPr>
          <w:b w:val="0"/>
          <w:i/>
        </w:rPr>
        <w:t>Для постановки диагноза трихофитии рекомендуется основываться на данных клинической картины и результатах лабораторных исследований: микроскопического исследования на грибы (не менее 4 раз), культурального исследования для идентификации вида возбудителя.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2.3 Лабораторная диагностика.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Инфильтративно-нагноительную трихофитию вызывает вид рода _Trichophyton_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_schonleinii_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_rubrum_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_canis_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_verrucosum_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_verrucosum_</w:t>
      </w:r>
    </w:p>
    <w:p>
      <w:pPr>
        <w:ind w:left="504"/>
      </w:pPr>
      <w:r>
        <w:rPr>
          <w:b w:val="0"/>
          <w:i/>
        </w:rPr>
        <w:t>Trichophyton – род паразитических грибков, вызывающих у человека поверхностную трихофитию (Т. tonsurans, Т. violaceum. T. equinum), инфильтративно-нагноительную трихофитию (Т. mentagrophytes var. granulosum, T. verrucosum), фавус (Т. schonleinii), руброфитию (Т. rubrum), эпидермофитию стоп (Т. mentagrophytes var. interdigitale) и черепицеобразный лишай (Т. concentricum).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Термины и определения.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качестве терапии больному можно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нистатин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вориконазол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флуконазол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гризеофульвин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гризеофульвин</w:t>
      </w:r>
    </w:p>
    <w:p>
      <w:pPr>
        <w:ind w:left="504"/>
      </w:pPr>
      <w:r>
        <w:rPr>
          <w:b w:val="0"/>
          <w:i/>
        </w:rPr>
        <w:t>Гризеофульвин перорально с чайной ложкой растительного масла 12,5 мг на кг массы тела в сутки в 3 приема (не более 1,0 г в сутки) ежедневно до второго отрицательного микроскопического исследования на наличие грибов (обычно 3-4 недели), затем через день в течение 2 недель, далее 2 недели 1 раз в 3 дня.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3.1 Консервативное лечение.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Гризеофульвин назначают в дозировке +_____+ мг/кг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12,5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12,5</w:t>
      </w:r>
    </w:p>
    <w:p>
      <w:pPr>
        <w:ind w:left="504"/>
      </w:pPr>
      <w:r>
        <w:rPr>
          <w:b w:val="0"/>
          <w:i/>
        </w:rPr>
        <w:t>Гризеофульвин перорально с чайной ложкой растительного масла 12,5 мг на кг массы тела в сутки в 3 приема (не более 1,0 г в сутки) ежедневно до второго отрицательного микроскопического исследования на наличие грибов (обычно 3-4 недели), затем через день в течение 2 недель, далее 2 недели 1 раз в 3 дня.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3.1 Консервативное лечение.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лучшего усваивания гризеофульвин принимают вместе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кусочком сахара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грейпфрутовым соком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молоком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растительным маслом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растительным маслом</w:t>
      </w:r>
    </w:p>
    <w:p>
      <w:pPr>
        <w:ind w:left="504"/>
      </w:pPr>
      <w:r>
        <w:rPr>
          <w:b w:val="0"/>
          <w:i/>
        </w:rPr>
        <w:t>Гризеофульвин перорально с чайной ложкой растительного масла 12,5 мг на кг массы тела в сутки в 3 приема (не более 1,0 г в сутки) ежедневно до второго отрицательного микроскопического исследования на наличие грибов (обычно 3-4 недели), затем через день в течение 2 недель, далее 2 недели 1 раз в 3 дня.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3.1 Консервативное лечение.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Для ускорения рассасывания очага на голове можно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гентамициновую мазь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мазь с бетаметазоном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фукорцин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примочки с ихтиолом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примочки с ихтиолом</w:t>
      </w:r>
    </w:p>
    <w:p>
      <w:pPr>
        <w:ind w:left="504"/>
      </w:pPr>
      <w:r>
        <w:rPr>
          <w:b w:val="0"/>
          <w:i/>
        </w:rPr>
        <w:t>Для лечения инфильтративно-­нагноительной формы изначально рекомендуется применять наружно антисептики и противовоспалительные лекарственные средства (в виде примочек и мазей): ихтиол, мазь 10% 2–3 раза в сутки в течение 2-3 дней.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3.1 Консервативное лечение.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Чтобы лечение считалось оконченным необходимо _____ отрицательных (-ого) анализов (-а)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Лечение считается законченным при трех отрицательных результатах исследования, проводимого с интервалами 5-7 дней.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3.1 Консервативное лечение.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Во время лечения необходимо ограничить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инсоляцию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водные процедуры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физические нагрузки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потребление углеводов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водные процедуры</w:t>
      </w:r>
    </w:p>
    <w:p>
      <w:pPr>
        <w:ind w:left="504"/>
      </w:pPr>
      <w:r>
        <w:rPr>
          <w:b w:val="0"/>
          <w:i/>
        </w:rPr>
        <w:t>Диссеминации способствует мытье с растиранием очагов мочалкой.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1.6 Клиническая картина.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Фактором риска у данного больного можно считать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возраст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семейное положение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род занятий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род занятий</w:t>
      </w:r>
    </w:p>
    <w:p>
      <w:pPr>
        <w:ind w:left="504"/>
      </w:pPr>
      <w:r>
        <w:rPr>
          <w:b w:val="0"/>
          <w:i/>
        </w:rPr>
        <w:t>Зооантропонозной трихофитией чаще болеют сельские жители.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1.3 Эпидемиология.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трихофитии волосы обломаны на расстоянии +_____+ мм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1-2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3-4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5-6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7-8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1-2</w:t>
      </w:r>
    </w:p>
    <w:p>
      <w:pPr>
        <w:ind w:left="504"/>
      </w:pPr>
      <w:r>
        <w:rPr>
          <w:b w:val="0"/>
          <w:i/>
        </w:rPr>
        <w:t>Здоровые волосы в очагах разрежены за счет того, что боль­ные волосы обломаны на высоте 1-2 мм над кожей.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1.6 Клиническая картина.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873" TargetMode="External"/><Relationship Id="rId10" Type="http://schemas.openxmlformats.org/officeDocument/2006/relationships/hyperlink" Target="https://library.mededtech.ru/rest/documents/cr_873/#list_item_m6fr4" TargetMode="External"/><Relationship Id="rId11" Type="http://schemas.openxmlformats.org/officeDocument/2006/relationships/hyperlink" Target="https://library.mededtech.ru/rest/documents/cr_873/#paragraph_5monc" TargetMode="External"/><Relationship Id="rId12" Type="http://schemas.openxmlformats.org/officeDocument/2006/relationships/hyperlink" Target="https://library.mededtech.ru/rest/documents/cr_873/#paragraph_d1fqf" TargetMode="External"/><Relationship Id="rId13" Type="http://schemas.openxmlformats.org/officeDocument/2006/relationships/hyperlink" Target="https://library.mededtech.ru/rest/documents/cr_873/#paragraph_i1st2" TargetMode="External"/><Relationship Id="rId14" Type="http://schemas.openxmlformats.org/officeDocument/2006/relationships/hyperlink" Target="https://library.mededtech.ru/rest/documents/cr_873/#list_item_ua1st" TargetMode="External"/><Relationship Id="rId15" Type="http://schemas.openxmlformats.org/officeDocument/2006/relationships/hyperlink" Target="https://library.mededtech.ru/rest/documents/cr_873/#paragraph_110ot" TargetMode="External"/><Relationship Id="rId16" Type="http://schemas.openxmlformats.org/officeDocument/2006/relationships/hyperlink" Target="https://library.mededtech.ru/rest/documents/cr_873/#paragraph_43j23" TargetMode="External"/><Relationship Id="rId17" Type="http://schemas.openxmlformats.org/officeDocument/2006/relationships/hyperlink" Target="https://library.mededtech.ru/rest/documents/cr_873/#paragraph_t5vrf" TargetMode="External"/><Relationship Id="rId18" Type="http://schemas.openxmlformats.org/officeDocument/2006/relationships/hyperlink" Target="https://library.mededtech.ru/rest/documents/cr_873/#paragraph_fq9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